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1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Series: Following Jesus in a Culture That Pushes Back – Part 1</w:t>
        <w:br w:type="textWrapping"/>
        <w:t xml:space="preserve"> Sermon: When Faith Meets Pushback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we641ecje2dj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Passages: John 15:18–16:4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3ipdvbopxd4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Growing up, who taught you the most about how to handle criticism or rejection?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8lo5p5l3n5m1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j2q65l8u2bz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Jesus tells His disciples to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expect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pushback rather than be surprised by it (John 15:18–20). Why do you think expecting resistance is so important for our faith?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w6524h55cfr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Pastor Keith described pushback today as often being subtle rather than violent. What are some ways Christians experience this kind of pressure in everyday life?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6xpkej2ch41f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According to John 15:19, Jesus says His followers no longer “belong to the world.” How does that truth shape a believer’s identity, and why might it create tension with others?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xcr40su87m0l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The sermon explained that resistance toward Christians ultimately comes from resistance toward Jesus Himself (John 15:18, 21). How does this perspective change the way we take criticism personally?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9m45xab2uw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Jesus didn’t avoid opposition, but He also didn’t respond with bitterness or revenge. What stands out to you about how Jesus responded to hostility?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44awpv79lfs" w:id="10"/>
      <w:bookmarkEnd w:id="1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Pastor Keith said that hiding our faith or blending in completely may explain why we experience little resistance. How do we balance wisdom with boldness in following Jesus publicly?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99uhz86vgp0" w:id="11"/>
      <w:bookmarkEnd w:id="1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Jesus promises the help of the Holy Spirit to strengthen and guide His followers (John 15:26). What does it look like to depend on the Spirit when faith meets pushback?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