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Laws &amp; Resolution Committee</w:t>
      </w:r>
    </w:p>
    <w:p>
      <w:pPr>
        <w:spacing w:before="0" w:after="300" w:line="240"/>
        <w:ind w:right="0" w:left="0" w:firstLine="0"/>
        <w:jc w:val="left"/>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Description: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Laws and Resolutions committee reviews biennially each club’s bylaws and procedures/standing rules for compliance with higher law; reviews region bylaws and procedures as requested by the governor, and working in conjunction with the Parliamentarian, previews and presents amendments to the region bylaws at the annual business meeting of the region, known as conference. Proposed Amendments and Resolutions are to be properly submitted to the L &amp; R committee chairman, Governor, and Region Secretary by November 15 prior to conference by mail for which there is evidence of delivery.</w:t>
      </w:r>
    </w:p>
    <w:p>
      <w:pPr>
        <w:keepNext w:val="true"/>
        <w:keepLines w:val="true"/>
        <w:spacing w:before="480" w:after="0" w:line="240"/>
        <w:ind w:right="0" w:left="0" w:firstLine="0"/>
        <w:jc w:val="left"/>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From the Bylaws/Procedures: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r>
      <w:r>
        <w:rPr>
          <w:rFonts w:ascii="Calibri" w:hAnsi="Calibri" w:cs="Calibri" w:eastAsia="Calibri"/>
          <w:color w:val="auto"/>
          <w:spacing w:val="0"/>
          <w:position w:val="0"/>
          <w:sz w:val="24"/>
          <w:shd w:fill="auto" w:val="clear"/>
        </w:rPr>
        <w:t xml:space="preserve">Maintain a current copy of region, Soroptimist International and Soroptimist International of the Americas bylaws and procedures, and a copy of the Articles of Incorporation of the Region. </w:t>
      </w:r>
    </w:p>
    <w:p>
      <w:pPr>
        <w:spacing w:before="0" w:after="0" w:line="240"/>
        <w:ind w:right="0" w:left="144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Confer with the governor after federation vote as to action taken which impacts region bylaws and procedures, making necessary revisions.</w:t>
      </w:r>
    </w:p>
    <w:p>
      <w:pPr>
        <w:spacing w:before="0" w:after="0" w:line="240"/>
        <w:ind w:right="0" w:left="144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tab/>
        <w:t xml:space="preserve">Submit, as requested by the region board, the revised region bylaws and procedures to the region secretary for distribution.</w:t>
      </w:r>
    </w:p>
    <w:p>
      <w:pPr>
        <w:spacing w:before="0" w:after="0" w:line="240"/>
        <w:ind w:right="0" w:left="144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tab/>
        <w:t xml:space="preserve">Process proposed amendments and resolutions when submitted by the deadline for region conference consideration, casting them in proper form and order, preparing copy for the region secretary to distribute in the call to conference.  The order shall be that of effect on federation bylaws, federation procedures, region bylaws, region procedures, resolutions.  In the event of changes to the same section of law, they shall be in order of receipt.  Proposed amendments shall be presented by the chairperson at the region conference.</w:t>
      </w:r>
    </w:p>
    <w:p>
      <w:pPr>
        <w:spacing w:before="0" w:after="120" w:line="240"/>
        <w:ind w:right="0" w:left="1440" w:hanging="720"/>
        <w:jc w:val="left"/>
        <w:rPr>
          <w:rFonts w:ascii="Cambria" w:hAnsi="Cambria" w:cs="Cambria" w:eastAsia="Cambria"/>
          <w:b/>
          <w:color w:val="365F91"/>
          <w:spacing w:val="0"/>
          <w:position w:val="0"/>
          <w:sz w:val="28"/>
          <w:shd w:fill="auto" w:val="clear"/>
        </w:rPr>
      </w:pPr>
      <w:r>
        <w:rPr>
          <w:rFonts w:ascii="Calibri" w:hAnsi="Calibri" w:cs="Calibri" w:eastAsia="Calibri"/>
          <w:color w:val="auto"/>
          <w:spacing w:val="0"/>
          <w:position w:val="0"/>
          <w:sz w:val="24"/>
          <w:shd w:fill="auto" w:val="clear"/>
        </w:rPr>
        <w:t xml:space="preserve">e.)</w:t>
        <w:tab/>
        <w:t xml:space="preserve">Review each club's bylaws biennially for consistency with higher law.  Clubs may use Appendix H as a guideline for writing club bylaws.  During the second year of the biennium the committee shall respond in writing with recommendations or corrections. Approval will be given with receipt of corrected copy. </w:t>
      </w:r>
      <w:r>
        <w:rPr>
          <w:rFonts w:ascii="Calibri" w:hAnsi="Calibri" w:cs="Calibri" w:eastAsia="Calibri"/>
          <w:b/>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Upon approval, the club shall send one copy each to the governor, governor-elect, district director, and the laws and resolutions chairperson. </w:t>
      </w:r>
      <w:r>
        <w:rPr>
          <w:rFonts w:ascii="Calibri" w:hAnsi="Calibri" w:cs="Calibri" w:eastAsia="Calibri"/>
          <w:b/>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a club has a difference of opinion on interpretation with the committee, it may appeal the decision to the region board, whose decision shall be final.</w:t>
      </w:r>
      <w:r>
        <w:rPr>
          <w:rFonts w:ascii="Calibri" w:hAnsi="Calibri" w:cs="Calibri" w:eastAsia="Calibri"/>
          <w:b/>
          <w:color w:val="365F91"/>
          <w:spacing w:val="0"/>
          <w:position w:val="0"/>
          <w:sz w:val="24"/>
          <w:shd w:fill="auto" w:val="clear"/>
        </w:rPr>
        <w:br/>
      </w:r>
    </w:p>
    <w:p>
      <w:pPr>
        <w:spacing w:before="0" w:after="120" w:line="240"/>
        <w:ind w:right="0" w:left="720" w:hanging="720"/>
        <w:jc w:val="both"/>
        <w:rPr>
          <w:rFonts w:ascii="Arial" w:hAnsi="Arial" w:cs="Arial" w:eastAsia="Arial"/>
          <w:color w:val="auto"/>
          <w:spacing w:val="0"/>
          <w:position w:val="0"/>
          <w:sz w:val="24"/>
          <w:shd w:fill="auto" w:val="clear"/>
        </w:rPr>
      </w:pPr>
      <w:r>
        <w:rPr>
          <w:rFonts w:ascii="Cambria" w:hAnsi="Cambria" w:cs="Cambria" w:eastAsia="Cambria"/>
          <w:b/>
          <w:color w:val="365F91"/>
          <w:spacing w:val="0"/>
          <w:position w:val="0"/>
          <w:sz w:val="28"/>
          <w:shd w:fill="auto" w:val="clear"/>
        </w:rPr>
        <w:t xml:space="preserve">2018-2020 GOALS/FOCUS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 bylaws for compliance to higher law.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 guidance for all clubs to ensure their bylaws are in compliance.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with other members to ensure succession for future biennia.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